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F1E3" w14:textId="77777777" w:rsidR="00233CC5" w:rsidRDefault="00233CC5">
      <w:pPr>
        <w:suppressAutoHyphens w:val="0"/>
        <w:spacing w:after="0" w:line="240" w:lineRule="auto"/>
        <w:ind w:left="1560" w:right="142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40A24DDB" w14:textId="77777777" w:rsidR="00233CC5" w:rsidRDefault="00000000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>El Capital de la sociedad se fija en SESENTA Y CUATRO MIL OCHOCIENTOS SEIS EUROS (64.806 €) íntegramente suscritos y desembolsados, dividido en 1.860 acciones nominales de una sola clase, numeradas de la 1 a la 1.860, de las cuáles, las numeradas con los ordinales 1 al 60, ambos inclusive, tienen un valor nominal de 60,10 euros, y las numeradas con los ordinales 61 al 1.860, ambos inclusive, tienen un valor nominal de 34 euros.</w:t>
      </w:r>
    </w:p>
    <w:p w14:paraId="2D91B3D6" w14:textId="77777777" w:rsidR="00233CC5" w:rsidRDefault="00233CC5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49ACD416" w14:textId="77777777" w:rsidR="00233CC5" w:rsidRDefault="00000000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>Dada la titularidad del 100% de las acciones por un único socio, Excmo. Cabildo Insular de El Hierro, la tipología de la sociedad es la S.A.U (Sociedad Anónima Unipersonal).</w:t>
      </w:r>
    </w:p>
    <w:p w14:paraId="06512471" w14:textId="77777777" w:rsidR="00233CC5" w:rsidRDefault="00233CC5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71EFAB5C" w14:textId="77777777" w:rsidR="00233CC5" w:rsidRDefault="00000000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>La transmisión de las acciones propiedad del Excmo. Cabildo Insular de El Hierro estará sujeta a las formas y medios previstos en la Ley de Sociedades de Capital y en sus disposiciones complementarias, así como en la legislación de Régimen Local.</w:t>
      </w:r>
    </w:p>
    <w:p w14:paraId="128DDDFD" w14:textId="77777777" w:rsidR="00233CC5" w:rsidRDefault="00233CC5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6789E63C" w14:textId="77777777" w:rsidR="00233CC5" w:rsidRDefault="00000000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>En los casos de prenda, usufructo y demás derechos reales sobre las acciones será de aplicación lo establecido en la Ley de Sociedades de Capital y en sus disposiciones complementarias.</w:t>
      </w:r>
    </w:p>
    <w:p w14:paraId="305275E6" w14:textId="77777777" w:rsidR="00233CC5" w:rsidRDefault="00233CC5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6681B3D2" w14:textId="77777777" w:rsidR="00233CC5" w:rsidRDefault="00000000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>Sin perjuicio de las particularidades contempladas en los apartados del artículo anterior, el Socio Unipersonal podrá transmitir sus acciones, conforme a los requisitos de la legislación de Régimen Local y la aplicable de carácter Mercantil.</w:t>
      </w:r>
    </w:p>
    <w:p w14:paraId="18DC7322" w14:textId="77777777" w:rsidR="00233CC5" w:rsidRDefault="00233CC5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5C398BC8" w14:textId="77777777" w:rsidR="00233CC5" w:rsidRDefault="00000000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>Los títulos representativos de las acciones, que serán nominativas, se extenderán en libros talonarios, numerados correlativamente, pudiéndose incorporar en una misma anotación una o más acciones de un mismo titular. Los libros talonarios llevarán el sello de la Sociedad y serán autorizados por las firmas de el/la presidente/a y de el/la secretario/a del Consejo de Administración.</w:t>
      </w:r>
    </w:p>
    <w:p w14:paraId="26B46CD9" w14:textId="77777777" w:rsidR="00233CC5" w:rsidRDefault="00233CC5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p w14:paraId="72C0779A" w14:textId="77777777" w:rsidR="00233CC5" w:rsidRDefault="00000000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>En los títulos costará el nombre de la Sociedad, los datos identificadores de inscripción en el Registro Mercantil y el número de Identificación Fiscal; el nombre del socio titular, el valor nominal de la acción, su número y la serie que en su caso pertenece.</w:t>
      </w:r>
    </w:p>
    <w:p w14:paraId="5CB946AE" w14:textId="77777777" w:rsidR="00233CC5" w:rsidRDefault="00000000">
      <w:pPr>
        <w:suppressAutoHyphens w:val="0"/>
        <w:spacing w:after="0" w:line="240" w:lineRule="auto"/>
        <w:ind w:left="1701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  <w:r>
        <w:rPr>
          <w:rFonts w:ascii="Gill Sans MT" w:hAnsi="Gill Sans MT"/>
          <w:sz w:val="24"/>
          <w:szCs w:val="24"/>
          <w:lang w:eastAsia="es-ES"/>
        </w:rPr>
        <w:tab/>
      </w:r>
    </w:p>
    <w:p w14:paraId="4AD9653D" w14:textId="77777777" w:rsidR="00233CC5" w:rsidRDefault="00233CC5">
      <w:pPr>
        <w:tabs>
          <w:tab w:val="left" w:pos="1320"/>
        </w:tabs>
        <w:suppressAutoHyphens w:val="0"/>
        <w:spacing w:after="0" w:line="240" w:lineRule="auto"/>
        <w:ind w:left="1418" w:right="284"/>
        <w:jc w:val="both"/>
        <w:textAlignment w:val="auto"/>
        <w:rPr>
          <w:rFonts w:ascii="Gill Sans MT" w:hAnsi="Gill Sans MT"/>
          <w:sz w:val="24"/>
          <w:szCs w:val="24"/>
          <w:lang w:eastAsia="es-ES"/>
        </w:rPr>
      </w:pPr>
    </w:p>
    <w:sectPr w:rsidR="00233CC5">
      <w:headerReference w:type="default" r:id="rId6"/>
      <w:footerReference w:type="default" r:id="rId7"/>
      <w:pgSz w:w="11906" w:h="16838"/>
      <w:pgMar w:top="2366" w:right="1416" w:bottom="1417" w:left="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D090" w14:textId="77777777" w:rsidR="00F146E2" w:rsidRDefault="00F146E2">
      <w:pPr>
        <w:spacing w:after="0" w:line="240" w:lineRule="auto"/>
      </w:pPr>
      <w:r>
        <w:separator/>
      </w:r>
    </w:p>
  </w:endnote>
  <w:endnote w:type="continuationSeparator" w:id="0">
    <w:p w14:paraId="5B20A75C" w14:textId="77777777" w:rsidR="00F146E2" w:rsidRDefault="00F1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Quire Sans Pro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8C64" w14:textId="77777777" w:rsidR="00000000" w:rsidRDefault="00000000">
    <w:pPr>
      <w:pStyle w:val="Piedepgina"/>
    </w:pPr>
  </w:p>
  <w:p w14:paraId="2342B76A" w14:textId="77777777" w:rsidR="00000000" w:rsidRDefault="00000000">
    <w:pPr>
      <w:pStyle w:val="Piedepgina"/>
      <w:jc w:val="center"/>
    </w:pPr>
  </w:p>
  <w:p w14:paraId="5183243D" w14:textId="77777777" w:rsidR="00000000" w:rsidRDefault="00000000">
    <w:pPr>
      <w:pStyle w:val="Piedepgina"/>
      <w:jc w:val="center"/>
    </w:pPr>
    <w:r>
      <w:rPr>
        <w:rFonts w:ascii="Quire Sans Pro Light" w:hAnsi="Quire Sans Pro Light" w:cs="Arial"/>
        <w:sz w:val="20"/>
        <w:szCs w:val="20"/>
      </w:rPr>
      <w:t>C</w:t>
    </w:r>
    <w:r>
      <w:rPr>
        <w:rFonts w:ascii="Quire Sans Pro Light" w:hAnsi="Quire Sans Pro Light" w:cs="Arial"/>
        <w:b/>
        <w:bCs/>
        <w:sz w:val="20"/>
        <w:szCs w:val="20"/>
      </w:rPr>
      <w:t>/ El Majano, s/n. Isora. Valverde. Santa Cruz de Tenerife</w:t>
    </w:r>
  </w:p>
  <w:p w14:paraId="2F1223FC" w14:textId="77777777" w:rsidR="00000000" w:rsidRDefault="00000000">
    <w:pPr>
      <w:pStyle w:val="Piedepgina"/>
      <w:jc w:val="center"/>
      <w:rPr>
        <w:rFonts w:ascii="Quire Sans Pro Light" w:hAnsi="Quire Sans Pro Light" w:cs="Arial"/>
        <w:b/>
        <w:bCs/>
        <w:sz w:val="20"/>
        <w:szCs w:val="20"/>
      </w:rPr>
    </w:pPr>
    <w:r>
      <w:rPr>
        <w:rFonts w:ascii="Quire Sans Pro Light" w:hAnsi="Quire Sans Pro Light" w:cs="Arial"/>
        <w:b/>
        <w:bCs/>
        <w:sz w:val="20"/>
        <w:szCs w:val="20"/>
      </w:rPr>
      <w:t>Canarias + 34 922 550 003 + 34 922 551 530</w:t>
    </w:r>
  </w:p>
  <w:p w14:paraId="65FB3CA2" w14:textId="77777777" w:rsidR="00000000" w:rsidRDefault="00000000">
    <w:pPr>
      <w:pStyle w:val="Piedepgina"/>
      <w:jc w:val="center"/>
      <w:rPr>
        <w:rFonts w:ascii="Quire Sans Pro Light" w:hAnsi="Quire Sans Pro Light" w:cs="Arial"/>
        <w:b/>
        <w:bCs/>
        <w:sz w:val="20"/>
        <w:szCs w:val="20"/>
      </w:rPr>
    </w:pPr>
    <w:r>
      <w:rPr>
        <w:rFonts w:ascii="Quire Sans Pro Light" w:hAnsi="Quire Sans Pro Light" w:cs="Arial"/>
        <w:b/>
        <w:bCs/>
        <w:sz w:val="20"/>
        <w:szCs w:val="20"/>
      </w:rPr>
      <w:t>www.mercahierro.com</w:t>
    </w:r>
  </w:p>
  <w:p w14:paraId="7251F4A1" w14:textId="77777777" w:rsidR="00000000" w:rsidRDefault="00000000">
    <w:pPr>
      <w:pStyle w:val="Piedepgina"/>
      <w:rPr>
        <w:rFonts w:ascii="Quire Sans Pro Light" w:hAnsi="Quire Sans Pro Light" w:cs="Arial"/>
        <w:b/>
        <w:bCs/>
        <w:sz w:val="20"/>
        <w:szCs w:val="20"/>
      </w:rPr>
    </w:pPr>
  </w:p>
  <w:p w14:paraId="4D22C643" w14:textId="77777777" w:rsidR="00000000" w:rsidRDefault="00000000">
    <w:pPr>
      <w:pStyle w:val="Piedepgina"/>
      <w:rPr>
        <w:rFonts w:ascii="Bell MT" w:hAnsi="Bell MT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0246" w14:textId="77777777" w:rsidR="00F146E2" w:rsidRDefault="00F146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E1DA56" w14:textId="77777777" w:rsidR="00F146E2" w:rsidRDefault="00F1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9336" w14:textId="77777777" w:rsidR="00000000" w:rsidRDefault="00000000">
    <w:pPr>
      <w:pStyle w:val="Ttulo1"/>
      <w:tabs>
        <w:tab w:val="left" w:pos="1985"/>
      </w:tabs>
      <w:spacing w:before="0" w:line="240" w:lineRule="auto"/>
      <w:ind w:left="567"/>
      <w:jc w:val="right"/>
    </w:pPr>
    <w:r>
      <w:rPr>
        <w:rFonts w:ascii="Bell MT" w:hAnsi="Bell MT"/>
        <w:b/>
        <w:bCs/>
        <w:noProof/>
        <w:color w:val="auto"/>
      </w:rPr>
      <w:drawing>
        <wp:anchor distT="0" distB="0" distL="114300" distR="114300" simplePos="0" relativeHeight="251659264" behindDoc="1" locked="0" layoutInCell="1" allowOverlap="1" wp14:anchorId="30AAEF51" wp14:editId="28ABC4F4">
          <wp:simplePos x="0" y="0"/>
          <wp:positionH relativeFrom="column">
            <wp:posOffset>923928</wp:posOffset>
          </wp:positionH>
          <wp:positionV relativeFrom="paragraph">
            <wp:posOffset>229871</wp:posOffset>
          </wp:positionV>
          <wp:extent cx="1362071" cy="761996"/>
          <wp:effectExtent l="0" t="0" r="0" b="4"/>
          <wp:wrapNone/>
          <wp:docPr id="1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1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ell MT" w:hAnsi="Bell MT"/>
        <w:b/>
        <w:bCs/>
        <w:color w:val="auto"/>
      </w:rPr>
      <w:br/>
    </w:r>
    <w:r>
      <w:rPr>
        <w:rFonts w:ascii="Bell MT" w:hAnsi="Bell MT"/>
        <w:b/>
        <w:bCs/>
        <w:color w:val="auto"/>
        <w:sz w:val="28"/>
        <w:szCs w:val="28"/>
      </w:rPr>
      <w:t xml:space="preserve"> </w:t>
    </w:r>
  </w:p>
  <w:p w14:paraId="36562DBF" w14:textId="77777777" w:rsidR="00000000" w:rsidRDefault="00000000">
    <w:pPr>
      <w:pStyle w:val="Ttulo1"/>
      <w:spacing w:before="0" w:line="240" w:lineRule="auto"/>
      <w:jc w:val="right"/>
      <w:rPr>
        <w:rFonts w:ascii="Bell MT" w:hAnsi="Bell MT"/>
        <w:b/>
        <w:bCs/>
        <w:color w:val="auto"/>
        <w:sz w:val="28"/>
        <w:szCs w:val="28"/>
      </w:rPr>
    </w:pPr>
  </w:p>
  <w:p w14:paraId="2325DBE5" w14:textId="77777777" w:rsidR="00000000" w:rsidRDefault="00000000">
    <w:pPr>
      <w:pStyle w:val="Ttulo1"/>
      <w:tabs>
        <w:tab w:val="left" w:pos="3240"/>
        <w:tab w:val="right" w:pos="11057"/>
      </w:tabs>
      <w:spacing w:line="240" w:lineRule="auto"/>
      <w:ind w:left="2832"/>
      <w:jc w:val="right"/>
    </w:pPr>
    <w:r>
      <w:rPr>
        <w:rFonts w:ascii="Bell MT" w:hAnsi="Bell MT"/>
        <w:b/>
        <w:bCs/>
        <w:color w:val="auto"/>
        <w:sz w:val="28"/>
        <w:szCs w:val="28"/>
      </w:rPr>
      <w:tab/>
    </w:r>
    <w:r>
      <w:rPr>
        <w:rFonts w:ascii="Bell MT" w:hAnsi="Bell MT"/>
        <w:b/>
        <w:bCs/>
        <w:color w:val="auto"/>
        <w:sz w:val="28"/>
        <w:szCs w:val="28"/>
      </w:rPr>
      <w:tab/>
    </w:r>
    <w:r>
      <w:rPr>
        <w:rFonts w:ascii="Bell MT" w:hAnsi="Bell MT"/>
        <w:b/>
        <w:bCs/>
        <w:color w:val="auto"/>
        <w:sz w:val="24"/>
        <w:szCs w:val="24"/>
      </w:rPr>
      <w:t xml:space="preserve">CAPITAL SOCIAL, DOTACIÓN FUNDACIONAL O PARTICIPACIÓN Y RECURSOS QUE FINANCIAN </w:t>
    </w:r>
  </w:p>
  <w:p w14:paraId="7E719C0E" w14:textId="77777777" w:rsidR="00000000" w:rsidRDefault="00000000">
    <w:pPr>
      <w:pStyle w:val="Ttulo1"/>
      <w:tabs>
        <w:tab w:val="left" w:pos="3240"/>
        <w:tab w:val="right" w:pos="11057"/>
      </w:tabs>
      <w:spacing w:before="0" w:line="240" w:lineRule="auto"/>
      <w:ind w:left="3238"/>
      <w:rPr>
        <w:rFonts w:ascii="Bell MT" w:hAnsi="Bell MT"/>
        <w:b/>
        <w:bCs/>
        <w:color w:val="auto"/>
        <w:sz w:val="24"/>
        <w:szCs w:val="24"/>
      </w:rPr>
    </w:pPr>
    <w:r>
      <w:rPr>
        <w:rFonts w:ascii="Bell MT" w:hAnsi="Bell MT"/>
        <w:b/>
        <w:bCs/>
        <w:color w:val="auto"/>
        <w:sz w:val="24"/>
        <w:szCs w:val="24"/>
      </w:rPr>
      <w:tab/>
    </w:r>
    <w:r>
      <w:rPr>
        <w:rFonts w:ascii="Bell MT" w:hAnsi="Bell MT"/>
        <w:b/>
        <w:bCs/>
        <w:color w:val="auto"/>
        <w:sz w:val="24"/>
        <w:szCs w:val="24"/>
      </w:rPr>
      <w:tab/>
      <w:t>SUS ACTIVIDADES</w:t>
    </w:r>
  </w:p>
  <w:p w14:paraId="677CCA4E" w14:textId="77777777" w:rsidR="00000000" w:rsidRDefault="00000000">
    <w:pPr>
      <w:pStyle w:val="Ttulo1"/>
      <w:pBdr>
        <w:bottom w:val="single" w:sz="4" w:space="1" w:color="000000"/>
      </w:pBdr>
      <w:tabs>
        <w:tab w:val="right" w:pos="10490"/>
      </w:tabs>
      <w:spacing w:before="0" w:line="240" w:lineRule="auto"/>
      <w:ind w:left="1560" w:hanging="1560"/>
    </w:pPr>
    <w:r>
      <w:rPr>
        <w:rFonts w:ascii="Bell MT" w:hAnsi="Bell MT"/>
        <w:b/>
        <w:bCs/>
        <w:color w:val="auto"/>
        <w:sz w:val="24"/>
        <w:szCs w:val="24"/>
      </w:rPr>
      <w:tab/>
    </w:r>
    <w:r>
      <w:rPr>
        <w:rFonts w:ascii="Bell MT" w:hAnsi="Bell MT"/>
        <w:b/>
        <w:bCs/>
        <w:color w:val="auto"/>
        <w:sz w:val="24"/>
        <w:szCs w:val="24"/>
      </w:rPr>
      <w:tab/>
      <w:t>(ACTUALIZADO 31/12/2025)</w:t>
    </w:r>
    <w:r>
      <w:rPr>
        <w:rFonts w:ascii="Bell MT" w:hAnsi="Bell MT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3CC5"/>
    <w:rsid w:val="00233CC5"/>
    <w:rsid w:val="007D2272"/>
    <w:rsid w:val="00D34230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D0C6"/>
  <w15:docId w15:val="{36EB7923-D6CE-46D3-86B9-A01013FA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1481AB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1481AB"/>
      <w:sz w:val="32"/>
      <w:szCs w:val="32"/>
    </w:rPr>
  </w:style>
  <w:style w:type="character" w:styleId="Hipervnculo">
    <w:name w:val="Hyperlink"/>
    <w:basedOn w:val="Fuentedeprrafopredeter"/>
    <w:rPr>
      <w:color w:val="6EAC1C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Ma.del Pilar González Acosta</dc:creator>
  <dc:description/>
  <cp:lastModifiedBy>Ale RoMa</cp:lastModifiedBy>
  <cp:revision>2</cp:revision>
  <cp:lastPrinted>2020-06-04T12:47:00Z</cp:lastPrinted>
  <dcterms:created xsi:type="dcterms:W3CDTF">2026-07-15T11:14:00Z</dcterms:created>
  <dcterms:modified xsi:type="dcterms:W3CDTF">2026-07-15T11:14:00Z</dcterms:modified>
</cp:coreProperties>
</file>